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142 vom 12. März 1982</w:t>
      </w:r>
    </w:p>
    <w:p>
      <w:r>
        <w:t>Bundesgericht (BGE), 1982-03-12, DE</w:t>
      </w:r>
    </w:p>
    <w:p>
      <w:r>
        <w:rPr>
          <w:b/>
        </w:rPr>
        <w:t xml:space="preserve">Quelle: </w:t>
      </w:r>
      <w:r>
        <w:t>https://mcp.opencaselaw.ch/entscheid/bge_108 IB 142</w:t>
      </w:r>
    </w:p>
    <w:p>
      <w:r>
        <w:t>FR: BGE 108 IB 142 du 12 mars 1982</w:t>
      </w:r>
    </w:p>
    <w:p>
      <w:r>
        <w:t>IT: BGE 108 IB 142 del 12 marzo 1982</w:t>
      </w:r>
    </w:p>
    <w:p>
      <w:pPr>
        <w:pStyle w:val="Heading2"/>
      </w:pPr>
      <w:r>
        <w:t>Regeste</w:t>
      </w:r>
    </w:p>
    <w:p>
      <w:r>
        <w:t>Regeste Taxe für Zeitungen und Zeitschriften. Postverkehrsgesetz. 1. "Gedruckt" im Sinne von Art. 58 Abs. 2 lit. a V(1) zum Postverkehrsgesetz sind nicht nur die in einem Verfahren gemäss Ziffer 136c der Ausführungsbestimmungen zur Verordnung (1) zum Postverkehrsgesetz (Hoch-, Tief-, Flach- oder Offsetdruck) hergestellten Zeitungen und Zeitschriften (E. 2). 2. Begriff der "Zeitung" oder "Zeitschrift" im Sinne von Art. 58 der Verordnung (1) zum Postverkehrsgesetz (E. 3).</w:t>
      </w:r>
    </w:p>
    <w:p>
      <w:pPr>
        <w:pStyle w:val="Heading2"/>
      </w:pPr>
      <w:r>
        <w:t>Erwägungen</w:t>
      </w:r>
    </w:p>
    <w:p>
      <w:r>
        <w:rPr>
          <w:b/>
        </w:rPr>
        <w:t>E. 1</w:t>
      </w:r>
    </w:p>
    <w:p>
      <w:r>
        <w:t>Nach Art. 58 Abs. 2 lit. a V(1) zum PVG in der Fassung vom 9. November 1977 ist die Taxe für abonnierte Zeitungen und Zeitschriften nur anwendbar auf Zeitungen und Zeitschriften, die unter anderem "in der Schweiz gedruckt und herausgegeben werden und deren fortlaufende Nummern abonniert sind und vom Verleger mit der Post versandt werden". Die vom Eidg. Verkehrs-und Energiewirtschaftsdepartement (EVED) erlassenen Ausführungsbestimmungen zur V(1) zum PVG (AB, publiziert im PTT-Amtsblatt vom 18. Oktober 1967 und im PTT-Amtsblatt vom 23. Oktober 1972) bestimmen in Ziffer 136 unter der Marginalie "Herstellungsverfahren" näher, dass als gedruckt im Sinne dieser Bestimmung die in einem Hoch-, Tief-, Flach- oder Offsetdruckverfahren hergestellten Erzeugnisse gelten. Die Beschwerdeführerin stellt die SJU-News, für deren Versand BGE 108 Ib 142 S. 144 sie die Taxe für abonnierte Zeitungen und Zeitschriften beansprucht, in einem Vervielfältigungsverfahren her, das die Eidg. Materialprüfungs- und Versuchsanstalt für Industrie, Bauwesen und Gewerbe (EMPA) in ihrem Gutachten an die Vorinstanz als "Durchdruckverfahren mit Wachsschablonen" beschreibt. Dieses sog. "Roneo-Vervielfältigungsverfahren" soll zwar nach der Darstellung der Beschwerdeführerin in der Replik ein Siebdruckverfahren sein. Die Beschwerdeführerin behauptet indessen nicht, es handle sich bei diesem Vervielfältigungsverfahren um eines der in Ziffer 136 AB genannten Herstellungsverfahren. Sie rügt vielmehr, die in dieser Ausführungsbestimmung verwendete Definition des Begriffes "gedruckt" sei bundesrechtswidrig, soweit damit gewisse Vervielfältigungsverfahren ausgeschlossen würden.</w:t>
      </w:r>
    </w:p>
    <w:p>
      <w:r>
        <w:rPr>
          <w:b/>
        </w:rPr>
        <w:t>E. 2</w:t>
      </w:r>
    </w:p>
    <w:p>
      <w:r>
        <w:t>Oktober 1924 (AS 1925 S. 335). Entgegen der Auffassung der Vorinstanz kann daraus jedoch für die Privilegierung bestimmter Herstellungsverfahren nichts abgeleitet werden. Der Ausdruck "gedruckt" ist in den früheren Erlassen nicht verwendet. Nach Art. 10 des Bundesgesetzes betreffend die Posttaxen vom 26. Juni 1884/24. Juni 1890 wird die ermässigte Zeitungstaxe "Zeitungen und andere(n) periodische(n) Blätter(n), welche in der Schweiz erscheinen" gewährt (AS Bd. 7 S. 588/Bd. 11 S. 720) und nach Art. 31 des Bundesgesetzes betreffend das Schweizerische Postwesen vom 5. April 1910 werden "Zeitungen und Zeitschriften, die in der Schweiz erscheinen", zur ermässigten Taxe befördert (AS Bd. 26 S. 1027). Eine Begründung für die offenbar redaktionell verstandene Änderung im Jahre 1924 findet sich in den Materialien nicht (vgl. Botschaft des Bundesrates in BBl 1921 IV S. 708/785). Eine nähere Umschreibung des Begriffes "gedruckt" wurde denn auch, wie die Vorinstanz im angefochtenen Entscheid darlegt, erstmals im Jahre 1956 als notwendig erachtet; eine derartige Umschreibung drängte sich vorher offenbar nach dem Stand der technischen Entwicklung nicht auf (vgl. FISCHER, Über den Geltungsbereich der Pressefreiheit, Diss. Zürich 1973, S. 9 f.). e) Nach der Rechtsprechung des Bundesgerichtes geniessen nicht nur Presseerzeugnisse den Schutz der Pressefreiheit, die in einem eigentlichen Buchdruckverfahren hergestellt sind. Als Presseerzeugnisse gelten auch Lithographien, Photographien, Heliographien oder Vervielfältigungen, sofern sie zur Veröffentlichung bestimmt sind und der Verfolgung idealer Zwecke dienen ( BGE 96 I 588 E. 3a). Die Art des "Druckes" einer Zeitung oder Zeitschrift ist auch nicht geeignet, die Presseerzeugnisse abzugrenzen, deren Vielfalt nach Art. 10 PVG gefördert werden soll. Massgebend für die Ermässigung der Zeitungstaxe im Sinne von Art. 10 PVG erscheint vielmehr die Bedeutung der Presse für die demokratische Meinungs- und Willensbildung (vgl. Amtl. Bull. SR 1976 S. 578, vgl. auch Stellungnahme des Bundesrates zur Parlamentarischen Initiative Presseförderung in BBl 1981 III S. 975 betreffend den Begriff der Vielfalt). Das zur Herstellung eines Presseerzeugnisses verwendete "Druck"-Verfahren vermag aber dessen Beitrag an die Darstellung der vielfältigen politischen, sozialen und geographischen Schattierungen der öffentlichen Meinung nicht zu charakterisieren. Dem Begriff "gedruckt" im Sinne von Art. 58 Abs. 2 lit. a V(1) zum PVG kommt daher gegenüber der Voraussetzung einer Mindestauflage (Art. 58 Abs. 2 lit. e V(1) zum PVG) BGE 108 Ib 142 S. 147 keine selbständige Bedeutung zu. Der angefochtene Entscheid ist deshalb aufzuheben.</w:t>
      </w:r>
    </w:p>
    <w:p>
      <w:r>
        <w:rPr>
          <w:b/>
        </w:rPr>
        <w:t>E. 3</w:t>
      </w:r>
    </w:p>
    <w:p>
      <w:r>
        <w:t>Hebt das Bundesgericht die angefochtene Verfügung auf, so entscheidet es nach Art. 114 Abs. 2 OG in der Sache selbst oder weist diese zu neuer Beurteilung an die Vorinstanz zurück. Die Postbetriebsabteilung der Generaldirektion PTT hat in ihrer Verfügung vom 26. Februar 1979 zwar ausdrücklich anerkannt, dass die SJU-News im Sinne von Art. 58b Abs. 1 lit. b V(1) zum PVG abonniert seien. Die Beschwerdegegnerin hat auch nicht bestritten, dass die SJU-News abgesehen vom Herstellungsverfahren die Voraussetzungen für die Zeitungstaxe erfüllten. Nach Art. 58b Abs. 1 lit. b V(1) zum PVG ist die ermässigte Zeitungstaxe anwendbar auf "Zeitungen und Zeitschriften, die eine Körperschaft auf Grund eines Beschlusses des zuständigen Organs ihren Mitgliedern zukommen lässt". Diese Voraussetzung kann dadurch erfüllt werden, dass eine Körperschaft selbst eine Publikation mit redaktionell verarbeitetem Textteil herausgibt, welche sie ihren Mitgliedern zukommen lässt. Eine Zeitung oder Zeitschrift wendet sich aber grundsätzlich an einen unbegrenzten oder lediglich sachlich begrenzten Empfängerkreis (vgl. die Definition der Zeitschrift bzw. Zeitung durch die Expertenkommission für die Revision von Art. 55 BV im Anhang S. 56/57 zu ihrem Bericht vom 1. Mai 1975). Die Presseerzeugnisse unterscheiden sich in dieser Hinsicht von Publikationen, die lediglich für Mitglieder, Mitarbeiter oder Kunden eines Verbandes oder einer wirtschartlichen Organisation bestimmt sind (vgl. zit. Anhang S. 44). Die Publikation einer Körperschaft, die sich lediglich an Mitglieder richtet, weil sie nur Vereinsinterna behandelt oder für Nichtmitglieder unzugänglich bleibt, ist daher in der Regel nicht als "Zeitung oder Zeitschrift" im Sinne von Art. 58 V(1) zum PVG bzw. als "Presseerzeugnis" im Sinne von Art. 10 PVG , sondern als bloss vereinsinternes Mitteilungsblatt, zu betrachten. Im vorliegenden Fall hat sich die Vorinstanz nicht zur Frage geäussert, ob es sich bei den SJU-News um eine Zeitung bzw. Zeitschrift handelt. Aus den Akten ergibt sich namentlich nicht mit hinreichender Deutlichkeit, ob die SJU-News auch Nichtmitgliedern zugänglich sind. Die Sache ist zur Abklärung dieser Frage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